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hd w:val="clear" w:color="auto" w:fill="FFFFFF"/>
        <w:spacing w:beforeAutospacing="0" w:afterAutospacing="0"/>
        <w:jc w:val="center"/>
        <w:rPr>
          <w:rStyle w:val="11"/>
          <w:rFonts w:hint="default" w:ascii="微软雅黑" w:hAnsi="微软雅黑" w:eastAsia="微软雅黑" w:cs="微软雅黑"/>
          <w:b/>
          <w:color w:val="333333"/>
          <w:spacing w:val="-1"/>
          <w:sz w:val="39"/>
          <w:szCs w:val="39"/>
          <w:shd w:val="clear" w:color="auto" w:fill="FFFFFF"/>
        </w:rPr>
      </w:pPr>
      <w:r>
        <w:rPr>
          <w:rStyle w:val="11"/>
          <w:rFonts w:ascii="微软雅黑" w:hAnsi="微软雅黑" w:eastAsia="微软雅黑" w:cs="微软雅黑"/>
          <w:b/>
          <w:color w:val="333333"/>
          <w:spacing w:val="-1"/>
          <w:sz w:val="39"/>
          <w:szCs w:val="39"/>
          <w:shd w:val="clear" w:color="auto" w:fill="FFFFFF"/>
        </w:rPr>
        <w:t>济南市交通动力机厂项目土石方工程招标公告</w:t>
      </w:r>
    </w:p>
    <w:p>
      <w:pPr>
        <w:ind w:firstLine="636" w:firstLineChars="200"/>
        <w:rPr>
          <w:rFonts w:ascii="仿宋" w:hAnsi="仿宋" w:eastAsia="仿宋" w:cs="仿宋"/>
          <w:color w:val="333333"/>
          <w:spacing w:val="-1"/>
          <w:sz w:val="32"/>
          <w:szCs w:val="32"/>
          <w:shd w:val="clear" w:color="auto" w:fill="FFFFFF"/>
        </w:rPr>
      </w:pPr>
      <w:r>
        <w:rPr>
          <w:rFonts w:ascii="仿宋" w:hAnsi="仿宋" w:eastAsia="仿宋" w:cs="仿宋"/>
          <w:color w:val="333333"/>
          <w:spacing w:val="-1"/>
          <w:sz w:val="32"/>
          <w:szCs w:val="32"/>
          <w:shd w:val="clear" w:color="auto" w:fill="FFFFFF"/>
        </w:rPr>
        <w:t>济南市交通</w:t>
      </w:r>
      <w:r>
        <w:rPr>
          <w:rFonts w:hint="eastAsia" w:ascii="仿宋" w:hAnsi="仿宋" w:eastAsia="仿宋" w:cs="仿宋"/>
          <w:color w:val="333333"/>
          <w:spacing w:val="-1"/>
          <w:sz w:val="32"/>
          <w:szCs w:val="32"/>
          <w:shd w:val="clear" w:color="auto" w:fill="FFFFFF"/>
        </w:rPr>
        <w:t>动力机厂项目土石方工程将进行公开招标，现特邀请有意向的潜在投标人（以下简称申请人）提出资格预审申请。</w:t>
      </w:r>
    </w:p>
    <w:p>
      <w:pPr>
        <w:pStyle w:val="7"/>
        <w:widowControl/>
        <w:shd w:val="clear" w:color="auto" w:fill="FFFFFF"/>
        <w:spacing w:before="75" w:beforeAutospacing="0" w:after="75" w:afterAutospacing="0"/>
        <w:jc w:val="both"/>
        <w:rPr>
          <w:rFonts w:ascii="微软雅黑" w:hAnsi="微软雅黑" w:eastAsia="微软雅黑" w:cs="微软雅黑"/>
          <w:color w:val="333333"/>
          <w:spacing w:val="-1"/>
          <w:sz w:val="21"/>
          <w:szCs w:val="21"/>
        </w:rPr>
      </w:pPr>
      <w:r>
        <w:rPr>
          <w:rFonts w:ascii="仿宋" w:hAnsi="仿宋" w:eastAsia="仿宋" w:cs="仿宋"/>
          <w:b/>
          <w:color w:val="333333"/>
          <w:spacing w:val="-1"/>
          <w:sz w:val="32"/>
          <w:szCs w:val="32"/>
          <w:shd w:val="clear" w:color="auto" w:fill="FFFFFF"/>
        </w:rPr>
        <w:t>一、基本情况</w:t>
      </w:r>
    </w:p>
    <w:p>
      <w:pPr>
        <w:pStyle w:val="7"/>
        <w:widowControl/>
        <w:shd w:val="clear" w:color="auto" w:fill="FFFFFF"/>
        <w:spacing w:before="75" w:beforeAutospacing="0" w:after="75" w:afterAutospacing="0"/>
        <w:jc w:val="both"/>
        <w:rPr>
          <w:rFonts w:ascii="仿宋" w:hAnsi="仿宋" w:eastAsia="仿宋" w:cs="仿宋"/>
          <w:color w:val="333333"/>
          <w:spacing w:val="-1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333333"/>
          <w:spacing w:val="-1"/>
          <w:sz w:val="32"/>
          <w:szCs w:val="32"/>
          <w:shd w:val="clear" w:color="auto" w:fill="FFFFFF"/>
        </w:rPr>
        <w:t>1.1 建设单位：济南丰和泰置业有限公司 </w:t>
      </w:r>
    </w:p>
    <w:p>
      <w:pPr>
        <w:pStyle w:val="7"/>
        <w:widowControl/>
        <w:shd w:val="clear" w:color="auto" w:fill="FFFFFF"/>
        <w:spacing w:before="75" w:beforeAutospacing="0" w:after="75" w:afterAutospacing="0"/>
        <w:jc w:val="both"/>
        <w:rPr>
          <w:rFonts w:ascii="微软雅黑" w:hAnsi="微软雅黑" w:eastAsia="微软雅黑" w:cs="微软雅黑"/>
          <w:color w:val="333333"/>
          <w:spacing w:val="-1"/>
          <w:sz w:val="21"/>
          <w:szCs w:val="21"/>
        </w:rPr>
      </w:pPr>
      <w:r>
        <w:rPr>
          <w:rFonts w:hint="eastAsia" w:ascii="仿宋" w:hAnsi="仿宋" w:eastAsia="仿宋" w:cs="仿宋"/>
          <w:color w:val="333333"/>
          <w:spacing w:val="-1"/>
          <w:sz w:val="32"/>
          <w:szCs w:val="32"/>
          <w:shd w:val="clear" w:color="auto" w:fill="FFFFFF"/>
        </w:rPr>
        <w:t>1.2 项目概况：总建筑面积约10.53万m2，其中地上建筑面积约7.93万m2，地下建筑面积约2.6万m2。</w:t>
      </w:r>
    </w:p>
    <w:p>
      <w:pPr>
        <w:pStyle w:val="7"/>
        <w:widowControl/>
        <w:shd w:val="clear" w:color="auto" w:fill="FFFFFF"/>
        <w:spacing w:before="75" w:beforeAutospacing="0" w:after="75" w:afterAutospacing="0"/>
        <w:rPr>
          <w:rFonts w:ascii="仿宋" w:hAnsi="仿宋" w:eastAsia="仿宋" w:cs="仿宋"/>
          <w:color w:val="333333"/>
          <w:spacing w:val="-1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333333"/>
          <w:spacing w:val="-1"/>
          <w:sz w:val="32"/>
          <w:szCs w:val="32"/>
          <w:shd w:val="clear" w:color="auto" w:fill="FFFFFF"/>
        </w:rPr>
        <w:t>1.3 建设地点：济南市天桥区维尔康佳苑以西，规划路以东，清河北路以北，规划路以南。</w:t>
      </w:r>
    </w:p>
    <w:p>
      <w:pPr>
        <w:pStyle w:val="7"/>
        <w:widowControl/>
        <w:shd w:val="clear" w:color="auto" w:fill="FFFFFF"/>
        <w:spacing w:before="75" w:beforeAutospacing="0" w:after="75" w:afterAutospacing="0"/>
        <w:jc w:val="both"/>
        <w:rPr>
          <w:rFonts w:ascii="微软雅黑" w:hAnsi="微软雅黑" w:eastAsia="微软雅黑" w:cs="微软雅黑"/>
          <w:color w:val="333333"/>
          <w:spacing w:val="-1"/>
          <w:sz w:val="21"/>
          <w:szCs w:val="21"/>
        </w:rPr>
      </w:pPr>
      <w:r>
        <w:rPr>
          <w:rFonts w:hint="eastAsia" w:ascii="仿宋" w:hAnsi="仿宋" w:eastAsia="仿宋" w:cs="仿宋"/>
          <w:b/>
          <w:color w:val="333333"/>
          <w:spacing w:val="-1"/>
          <w:sz w:val="32"/>
          <w:szCs w:val="32"/>
          <w:shd w:val="clear" w:color="auto" w:fill="FFFFFF"/>
        </w:rPr>
        <w:t>二、招标形式</w:t>
      </w:r>
    </w:p>
    <w:p>
      <w:pPr>
        <w:pStyle w:val="7"/>
        <w:widowControl/>
        <w:shd w:val="clear" w:color="auto" w:fill="FFFFFF"/>
        <w:spacing w:before="75" w:beforeAutospacing="0" w:after="75" w:afterAutospacing="0"/>
        <w:jc w:val="both"/>
        <w:rPr>
          <w:rFonts w:ascii="微软雅黑" w:hAnsi="微软雅黑" w:eastAsia="微软雅黑" w:cs="微软雅黑"/>
          <w:color w:val="333333"/>
          <w:spacing w:val="-1"/>
          <w:sz w:val="21"/>
          <w:szCs w:val="21"/>
        </w:rPr>
      </w:pPr>
      <w:r>
        <w:rPr>
          <w:rFonts w:hint="eastAsia" w:ascii="仿宋" w:hAnsi="仿宋" w:eastAsia="仿宋" w:cs="仿宋"/>
          <w:color w:val="333333"/>
          <w:spacing w:val="-1"/>
          <w:sz w:val="32"/>
          <w:szCs w:val="32"/>
          <w:shd w:val="clear" w:color="auto" w:fill="FFFFFF"/>
        </w:rPr>
        <w:t>公开招标。</w:t>
      </w:r>
    </w:p>
    <w:p>
      <w:pPr>
        <w:pStyle w:val="7"/>
        <w:widowControl/>
        <w:shd w:val="clear" w:color="auto" w:fill="FFFFFF"/>
        <w:spacing w:before="75" w:beforeAutospacing="0" w:after="75" w:afterAutospacing="0"/>
        <w:jc w:val="both"/>
        <w:rPr>
          <w:rFonts w:ascii="微软雅黑" w:hAnsi="微软雅黑" w:eastAsia="微软雅黑" w:cs="微软雅黑"/>
          <w:color w:val="333333"/>
          <w:spacing w:val="-1"/>
          <w:sz w:val="21"/>
          <w:szCs w:val="21"/>
        </w:rPr>
      </w:pPr>
      <w:r>
        <w:rPr>
          <w:rFonts w:hint="eastAsia" w:ascii="仿宋" w:hAnsi="仿宋" w:eastAsia="仿宋" w:cs="仿宋"/>
          <w:b/>
          <w:color w:val="333333"/>
          <w:spacing w:val="-1"/>
          <w:sz w:val="32"/>
          <w:szCs w:val="32"/>
          <w:shd w:val="clear" w:color="auto" w:fill="FFFFFF"/>
        </w:rPr>
        <w:t>三、招标内容及范围</w:t>
      </w:r>
    </w:p>
    <w:p>
      <w:pPr>
        <w:pStyle w:val="7"/>
        <w:widowControl/>
        <w:shd w:val="clear" w:color="auto" w:fill="FFFFFF"/>
        <w:spacing w:before="75" w:beforeAutospacing="0" w:after="75" w:afterAutospacing="0"/>
        <w:jc w:val="both"/>
        <w:rPr>
          <w:rFonts w:ascii="微软雅黑" w:hAnsi="微软雅黑" w:eastAsia="微软雅黑" w:cs="微软雅黑"/>
          <w:color w:val="333333"/>
          <w:spacing w:val="-1"/>
          <w:sz w:val="21"/>
          <w:szCs w:val="21"/>
        </w:rPr>
      </w:pPr>
      <w:r>
        <w:rPr>
          <w:rFonts w:hint="eastAsia" w:ascii="仿宋" w:hAnsi="仿宋" w:eastAsia="仿宋" w:cs="仿宋"/>
          <w:color w:val="333333"/>
          <w:spacing w:val="-1"/>
          <w:sz w:val="32"/>
          <w:szCs w:val="32"/>
          <w:shd w:val="clear" w:color="auto" w:fill="FFFFFF"/>
        </w:rPr>
        <w:t>本招标范围为：</w:t>
      </w:r>
      <w:r>
        <w:rPr>
          <w:rFonts w:ascii="仿宋" w:hAnsi="仿宋" w:eastAsia="仿宋" w:cs="仿宋"/>
          <w:color w:val="333333"/>
          <w:spacing w:val="-1"/>
          <w:sz w:val="32"/>
          <w:szCs w:val="32"/>
          <w:shd w:val="clear" w:color="auto" w:fill="FFFFFF"/>
        </w:rPr>
        <w:t>济南市交通</w:t>
      </w:r>
      <w:r>
        <w:rPr>
          <w:rFonts w:hint="eastAsia" w:ascii="仿宋" w:hAnsi="仿宋" w:eastAsia="仿宋" w:cs="仿宋"/>
          <w:color w:val="333333"/>
          <w:spacing w:val="-1"/>
          <w:sz w:val="32"/>
          <w:szCs w:val="32"/>
          <w:shd w:val="clear" w:color="auto" w:fill="FFFFFF"/>
        </w:rPr>
        <w:t>动力机厂项目土石方工作。</w:t>
      </w:r>
    </w:p>
    <w:p>
      <w:pPr>
        <w:pStyle w:val="7"/>
        <w:widowControl/>
        <w:shd w:val="clear" w:color="auto" w:fill="FFFFFF"/>
        <w:spacing w:before="75" w:beforeAutospacing="0" w:after="75" w:afterAutospacing="0"/>
        <w:ind w:firstLine="640"/>
        <w:jc w:val="both"/>
        <w:rPr>
          <w:rFonts w:ascii="微软雅黑" w:hAnsi="微软雅黑" w:eastAsia="微软雅黑" w:cs="微软雅黑"/>
          <w:color w:val="333333"/>
          <w:spacing w:val="-1"/>
          <w:sz w:val="21"/>
          <w:szCs w:val="21"/>
        </w:rPr>
      </w:pPr>
      <w:r>
        <w:rPr>
          <w:rFonts w:hint="eastAsia" w:ascii="仿宋" w:hAnsi="仿宋" w:eastAsia="仿宋" w:cs="仿宋"/>
          <w:color w:val="333333"/>
          <w:spacing w:val="-1"/>
          <w:sz w:val="32"/>
          <w:szCs w:val="32"/>
          <w:shd w:val="clear" w:color="auto" w:fill="FFFFFF"/>
        </w:rPr>
        <w:t>具体包括但不限于以下内容：场地范围内清表、硬化路面、</w:t>
      </w:r>
      <w:r>
        <w:rPr>
          <w:rFonts w:ascii="仿宋" w:hAnsi="仿宋" w:eastAsia="仿宋" w:cs="仿宋"/>
          <w:color w:val="333333"/>
          <w:spacing w:val="-1"/>
          <w:sz w:val="32"/>
          <w:szCs w:val="32"/>
          <w:shd w:val="clear" w:color="auto" w:fill="FFFFFF"/>
        </w:rPr>
        <w:t>基础破除</w:t>
      </w:r>
      <w:r>
        <w:rPr>
          <w:rFonts w:hint="eastAsia" w:ascii="仿宋" w:hAnsi="仿宋" w:eastAsia="仿宋" w:cs="仿宋"/>
          <w:color w:val="333333"/>
          <w:spacing w:val="-1"/>
          <w:sz w:val="32"/>
          <w:szCs w:val="32"/>
          <w:shd w:val="clear" w:color="auto" w:fill="FFFFFF"/>
        </w:rPr>
        <w:t>（包括各种垃圾外运）、场地平整、石方爆破（含手续办理）及挖运（如有）；土石方开挖外运，内倒；出入口道路硬化，大门及洗车台安装；土方外运政府要求的道路硬化、喷淋等相关措施；现场土方覆盖；施工出入口与城管执法局监控系统联网的监控设备安装；基坑支护的配合工作；渣土处置手续的办理及渣土处置费用缴纳；政府职能部门建设局、环保局、城管局、执法局、扬尘办、大气办、公安局等检查协调；项目土石方工程施工过程中所有扬尘治理相关工作、扰民、民扰及周边关系的协调等。</w:t>
      </w:r>
    </w:p>
    <w:p>
      <w:pPr>
        <w:pStyle w:val="7"/>
        <w:widowControl/>
        <w:shd w:val="clear" w:color="auto" w:fill="FFFFFF"/>
        <w:spacing w:before="75" w:beforeAutospacing="0" w:after="75" w:afterAutospacing="0"/>
        <w:jc w:val="both"/>
        <w:rPr>
          <w:rFonts w:ascii="微软雅黑" w:hAnsi="微软雅黑" w:eastAsia="微软雅黑" w:cs="微软雅黑"/>
          <w:color w:val="333333"/>
          <w:spacing w:val="-1"/>
          <w:sz w:val="21"/>
          <w:szCs w:val="21"/>
        </w:rPr>
      </w:pPr>
      <w:r>
        <w:rPr>
          <w:rFonts w:hint="eastAsia" w:ascii="仿宋" w:hAnsi="仿宋" w:eastAsia="仿宋" w:cs="仿宋"/>
          <w:b/>
          <w:color w:val="333333"/>
          <w:spacing w:val="-1"/>
          <w:sz w:val="32"/>
          <w:szCs w:val="32"/>
          <w:shd w:val="clear" w:color="auto" w:fill="FFFFFF"/>
        </w:rPr>
        <w:t>四、申请人资格要求</w:t>
      </w:r>
    </w:p>
    <w:p>
      <w:pPr>
        <w:pStyle w:val="7"/>
        <w:widowControl/>
        <w:shd w:val="clear" w:color="auto" w:fill="FFFFFF"/>
        <w:spacing w:before="75" w:beforeAutospacing="0" w:after="75" w:afterAutospacing="0"/>
        <w:jc w:val="both"/>
        <w:rPr>
          <w:rFonts w:ascii="微软雅黑" w:hAnsi="微软雅黑" w:eastAsia="微软雅黑" w:cs="微软雅黑"/>
          <w:color w:val="333333"/>
          <w:spacing w:val="-1"/>
          <w:sz w:val="21"/>
          <w:szCs w:val="21"/>
        </w:rPr>
      </w:pPr>
      <w:r>
        <w:rPr>
          <w:rFonts w:hint="eastAsia" w:ascii="仿宋" w:hAnsi="仿宋" w:eastAsia="仿宋" w:cs="仿宋"/>
          <w:color w:val="333333"/>
          <w:spacing w:val="-1"/>
          <w:sz w:val="32"/>
          <w:szCs w:val="32"/>
          <w:shd w:val="clear" w:color="auto" w:fill="FFFFFF"/>
        </w:rPr>
        <w:t>4.1 申请人资格要求：</w:t>
      </w:r>
    </w:p>
    <w:p>
      <w:pPr>
        <w:pStyle w:val="7"/>
        <w:widowControl/>
        <w:shd w:val="clear" w:color="auto" w:fill="FFFFFF"/>
        <w:spacing w:before="75" w:beforeAutospacing="0" w:after="75" w:afterAutospacing="0"/>
        <w:jc w:val="both"/>
        <w:rPr>
          <w:rFonts w:ascii="微软雅黑" w:hAnsi="微软雅黑" w:eastAsia="微软雅黑" w:cs="微软雅黑"/>
          <w:color w:val="333333"/>
          <w:spacing w:val="-1"/>
          <w:sz w:val="21"/>
          <w:szCs w:val="21"/>
        </w:rPr>
      </w:pPr>
      <w:r>
        <w:rPr>
          <w:rFonts w:hint="eastAsia" w:ascii="仿宋" w:hAnsi="仿宋" w:eastAsia="仿宋" w:cs="仿宋"/>
          <w:color w:val="333333"/>
          <w:spacing w:val="-1"/>
          <w:sz w:val="32"/>
          <w:szCs w:val="32"/>
          <w:shd w:val="clear" w:color="auto" w:fill="FFFFFF"/>
        </w:rPr>
        <w:t>4.1.1 具有独立企业法人资格，取得公司法人《营业执照》的企业；</w:t>
      </w:r>
    </w:p>
    <w:p>
      <w:pPr>
        <w:pStyle w:val="7"/>
        <w:widowControl/>
        <w:shd w:val="clear" w:color="auto" w:fill="FFFFFF"/>
        <w:spacing w:before="75" w:beforeAutospacing="0" w:after="75" w:afterAutospacing="0"/>
        <w:jc w:val="both"/>
        <w:rPr>
          <w:rFonts w:ascii="微软雅黑" w:hAnsi="微软雅黑" w:eastAsia="微软雅黑" w:cs="微软雅黑"/>
          <w:color w:val="333333"/>
          <w:spacing w:val="-1"/>
          <w:sz w:val="21"/>
          <w:szCs w:val="21"/>
        </w:rPr>
      </w:pPr>
      <w:r>
        <w:rPr>
          <w:rFonts w:hint="eastAsia" w:ascii="仿宋" w:hAnsi="仿宋" w:eastAsia="仿宋" w:cs="仿宋"/>
          <w:color w:val="333333"/>
          <w:spacing w:val="-1"/>
          <w:sz w:val="32"/>
          <w:szCs w:val="32"/>
          <w:shd w:val="clear" w:color="auto" w:fill="FFFFFF"/>
        </w:rPr>
        <w:t>4.1.2 具有土石方开挖及运输资格；</w:t>
      </w:r>
    </w:p>
    <w:p>
      <w:pPr>
        <w:pStyle w:val="7"/>
        <w:widowControl/>
        <w:shd w:val="clear" w:color="auto" w:fill="FFFFFF"/>
        <w:spacing w:before="75" w:beforeAutospacing="0" w:after="75" w:afterAutospacing="0"/>
        <w:jc w:val="both"/>
        <w:rPr>
          <w:rFonts w:ascii="微软雅黑" w:hAnsi="微软雅黑" w:eastAsia="微软雅黑" w:cs="微软雅黑"/>
          <w:color w:val="333333"/>
          <w:spacing w:val="-1"/>
          <w:sz w:val="21"/>
          <w:szCs w:val="21"/>
        </w:rPr>
      </w:pPr>
      <w:r>
        <w:rPr>
          <w:rFonts w:hint="eastAsia" w:ascii="仿宋" w:hAnsi="仿宋" w:eastAsia="仿宋" w:cs="仿宋"/>
          <w:color w:val="333333"/>
          <w:spacing w:val="-1"/>
          <w:sz w:val="32"/>
          <w:szCs w:val="32"/>
          <w:shd w:val="clear" w:color="auto" w:fill="FFFFFF"/>
        </w:rPr>
        <w:t>4.1.3 近两年（2019年12月27日~至今）济南市区内不小于本项目规模（土石方量不小于1</w:t>
      </w:r>
      <w:r>
        <w:rPr>
          <w:rFonts w:ascii="仿宋" w:hAnsi="仿宋" w:eastAsia="仿宋" w:cs="仿宋"/>
          <w:color w:val="333333"/>
          <w:spacing w:val="-1"/>
          <w:sz w:val="32"/>
          <w:szCs w:val="32"/>
          <w:shd w:val="clear" w:color="auto" w:fill="FFFFFF"/>
        </w:rPr>
        <w:t>4</w:t>
      </w:r>
      <w:r>
        <w:rPr>
          <w:rFonts w:hint="eastAsia" w:ascii="仿宋" w:hAnsi="仿宋" w:eastAsia="仿宋" w:cs="仿宋"/>
          <w:color w:val="333333"/>
          <w:spacing w:val="-1"/>
          <w:sz w:val="32"/>
          <w:szCs w:val="32"/>
          <w:shd w:val="clear" w:color="auto" w:fill="FFFFFF"/>
        </w:rPr>
        <w:t>万立方米或土石方合同金额不小于</w:t>
      </w:r>
      <w:r>
        <w:rPr>
          <w:rFonts w:ascii="仿宋" w:hAnsi="仿宋" w:eastAsia="仿宋" w:cs="仿宋"/>
          <w:color w:val="333333"/>
          <w:spacing w:val="-1"/>
          <w:sz w:val="32"/>
          <w:szCs w:val="32"/>
          <w:shd w:val="clear" w:color="auto" w:fill="FFFFFF"/>
        </w:rPr>
        <w:t>500</w:t>
      </w:r>
      <w:r>
        <w:rPr>
          <w:rFonts w:hint="eastAsia" w:ascii="仿宋" w:hAnsi="仿宋" w:eastAsia="仿宋" w:cs="仿宋"/>
          <w:color w:val="333333"/>
          <w:spacing w:val="-1"/>
          <w:sz w:val="32"/>
          <w:szCs w:val="32"/>
          <w:shd w:val="clear" w:color="auto" w:fill="FFFFFF"/>
        </w:rPr>
        <w:t>万元）的已完成工程业绩至少3项；</w:t>
      </w:r>
    </w:p>
    <w:p>
      <w:pPr>
        <w:pStyle w:val="7"/>
        <w:widowControl/>
        <w:shd w:val="clear" w:color="auto" w:fill="FFFFFF"/>
        <w:spacing w:before="75" w:beforeAutospacing="0" w:after="75" w:afterAutospacing="0"/>
        <w:jc w:val="both"/>
        <w:rPr>
          <w:rFonts w:ascii="微软雅黑" w:hAnsi="微软雅黑" w:eastAsia="微软雅黑" w:cs="微软雅黑"/>
          <w:color w:val="333333"/>
          <w:spacing w:val="-1"/>
          <w:sz w:val="21"/>
          <w:szCs w:val="21"/>
        </w:rPr>
      </w:pPr>
      <w:r>
        <w:rPr>
          <w:rFonts w:hint="eastAsia" w:ascii="仿宋" w:hAnsi="仿宋" w:eastAsia="仿宋" w:cs="仿宋"/>
          <w:color w:val="333333"/>
          <w:spacing w:val="-1"/>
          <w:sz w:val="32"/>
          <w:szCs w:val="32"/>
          <w:shd w:val="clear" w:color="auto" w:fill="FFFFFF"/>
        </w:rPr>
        <w:t>4.1.4 拟派驻项目经理有不少于一个土石方量不小于14万立方米或土石方合同金额不小于</w:t>
      </w:r>
      <w:r>
        <w:rPr>
          <w:rFonts w:ascii="仿宋" w:hAnsi="仿宋" w:eastAsia="仿宋" w:cs="仿宋"/>
          <w:color w:val="333333"/>
          <w:spacing w:val="-1"/>
          <w:sz w:val="32"/>
          <w:szCs w:val="32"/>
          <w:shd w:val="clear" w:color="auto" w:fill="FFFFFF"/>
        </w:rPr>
        <w:t>500</w:t>
      </w:r>
      <w:r>
        <w:rPr>
          <w:rFonts w:hint="eastAsia" w:ascii="仿宋" w:hAnsi="仿宋" w:eastAsia="仿宋" w:cs="仿宋"/>
          <w:color w:val="333333"/>
          <w:spacing w:val="-1"/>
          <w:sz w:val="32"/>
          <w:szCs w:val="32"/>
          <w:shd w:val="clear" w:color="auto" w:fill="FFFFFF"/>
        </w:rPr>
        <w:t>万元的土石方项目的管理经历；</w:t>
      </w:r>
    </w:p>
    <w:p>
      <w:pPr>
        <w:pStyle w:val="7"/>
        <w:widowControl/>
        <w:shd w:val="clear" w:color="auto" w:fill="FFFFFF"/>
        <w:spacing w:before="75" w:beforeAutospacing="0" w:after="75" w:afterAutospacing="0"/>
        <w:jc w:val="both"/>
        <w:rPr>
          <w:rFonts w:ascii="微软雅黑" w:hAnsi="微软雅黑" w:eastAsia="微软雅黑" w:cs="微软雅黑"/>
          <w:color w:val="333333"/>
          <w:spacing w:val="-1"/>
          <w:sz w:val="21"/>
          <w:szCs w:val="21"/>
        </w:rPr>
      </w:pPr>
      <w:r>
        <w:rPr>
          <w:rFonts w:hint="eastAsia" w:ascii="仿宋" w:hAnsi="仿宋" w:eastAsia="仿宋" w:cs="仿宋"/>
          <w:color w:val="333333"/>
          <w:spacing w:val="-1"/>
          <w:sz w:val="32"/>
          <w:szCs w:val="32"/>
          <w:shd w:val="clear" w:color="auto" w:fill="FFFFFF"/>
        </w:rPr>
        <w:t>4.1.5 自有机械设备：斗容量大于1立方米的挖掘机不少于5台、容量大于10立方米的渣土车数量不限等，并提供发票、行驶证等权属证明文件；</w:t>
      </w:r>
    </w:p>
    <w:p>
      <w:pPr>
        <w:pStyle w:val="7"/>
        <w:widowControl/>
        <w:shd w:val="clear" w:color="auto" w:fill="FFFFFF"/>
        <w:spacing w:before="75" w:beforeAutospacing="0" w:after="75" w:afterAutospacing="0"/>
        <w:jc w:val="both"/>
        <w:rPr>
          <w:rFonts w:ascii="微软雅黑" w:hAnsi="微软雅黑" w:eastAsia="微软雅黑" w:cs="微软雅黑"/>
          <w:color w:val="333333"/>
          <w:spacing w:val="-1"/>
          <w:sz w:val="21"/>
          <w:szCs w:val="21"/>
        </w:rPr>
      </w:pPr>
      <w:r>
        <w:rPr>
          <w:rFonts w:hint="eastAsia" w:ascii="仿宋" w:hAnsi="仿宋" w:eastAsia="仿宋" w:cs="仿宋"/>
          <w:color w:val="333333"/>
          <w:spacing w:val="-1"/>
          <w:sz w:val="32"/>
          <w:szCs w:val="32"/>
          <w:shd w:val="clear" w:color="auto" w:fill="FFFFFF"/>
        </w:rPr>
        <w:t>4.1.6 能够办理爆破手续的证明资料；</w:t>
      </w:r>
    </w:p>
    <w:p>
      <w:pPr>
        <w:pStyle w:val="7"/>
        <w:widowControl/>
        <w:shd w:val="clear" w:color="auto" w:fill="FFFFFF"/>
        <w:spacing w:before="75" w:beforeAutospacing="0" w:after="75" w:afterAutospacing="0"/>
        <w:jc w:val="both"/>
        <w:rPr>
          <w:rFonts w:ascii="微软雅黑" w:hAnsi="微软雅黑" w:eastAsia="微软雅黑" w:cs="微软雅黑"/>
          <w:color w:val="333333"/>
          <w:spacing w:val="-1"/>
          <w:sz w:val="21"/>
          <w:szCs w:val="21"/>
        </w:rPr>
      </w:pPr>
      <w:r>
        <w:rPr>
          <w:rFonts w:hint="eastAsia" w:ascii="仿宋" w:hAnsi="仿宋" w:eastAsia="仿宋" w:cs="仿宋"/>
          <w:color w:val="333333"/>
          <w:spacing w:val="-1"/>
          <w:sz w:val="32"/>
          <w:szCs w:val="32"/>
          <w:shd w:val="clear" w:color="auto" w:fill="FFFFFF"/>
        </w:rPr>
        <w:t>4.1.7 能够协调政府职能部门包括但不限于建设局、环保局、城管局、执法局、扬尘办、大气办、公安局等的检查；</w:t>
      </w:r>
    </w:p>
    <w:p>
      <w:pPr>
        <w:pStyle w:val="7"/>
        <w:widowControl/>
        <w:shd w:val="clear" w:color="auto" w:fill="FFFFFF"/>
        <w:spacing w:before="75" w:beforeAutospacing="0" w:after="75" w:afterAutospacing="0"/>
        <w:jc w:val="both"/>
        <w:rPr>
          <w:rFonts w:ascii="微软雅黑" w:hAnsi="微软雅黑" w:eastAsia="微软雅黑" w:cs="微软雅黑"/>
          <w:color w:val="333333"/>
          <w:spacing w:val="-1"/>
          <w:sz w:val="21"/>
          <w:szCs w:val="21"/>
        </w:rPr>
      </w:pPr>
      <w:r>
        <w:rPr>
          <w:rFonts w:hint="eastAsia" w:ascii="仿宋" w:hAnsi="仿宋" w:eastAsia="仿宋" w:cs="仿宋"/>
          <w:color w:val="333333"/>
          <w:spacing w:val="-1"/>
          <w:sz w:val="32"/>
          <w:szCs w:val="32"/>
          <w:shd w:val="clear" w:color="auto" w:fill="FFFFFF"/>
        </w:rPr>
        <w:t>4.1.8 能够协调周边关系（包括但不限于村民、学校、居民及其他社会人员等）；</w:t>
      </w:r>
    </w:p>
    <w:p>
      <w:pPr>
        <w:pStyle w:val="7"/>
        <w:widowControl/>
        <w:shd w:val="clear" w:color="auto" w:fill="FFFFFF"/>
        <w:spacing w:before="75" w:beforeAutospacing="0" w:after="75" w:afterAutospacing="0"/>
        <w:jc w:val="both"/>
        <w:rPr>
          <w:rFonts w:ascii="微软雅黑" w:hAnsi="微软雅黑" w:eastAsia="微软雅黑" w:cs="微软雅黑"/>
          <w:color w:val="333333"/>
          <w:spacing w:val="-1"/>
          <w:sz w:val="21"/>
          <w:szCs w:val="21"/>
        </w:rPr>
      </w:pPr>
      <w:r>
        <w:rPr>
          <w:rFonts w:hint="eastAsia" w:ascii="仿宋" w:hAnsi="仿宋" w:eastAsia="仿宋" w:cs="仿宋"/>
          <w:color w:val="333333"/>
          <w:spacing w:val="-1"/>
          <w:sz w:val="32"/>
          <w:szCs w:val="32"/>
          <w:shd w:val="clear" w:color="auto" w:fill="FFFFFF"/>
        </w:rPr>
        <w:t>4.2 本次资格预审不接受联合体资格预审申请。</w:t>
      </w:r>
    </w:p>
    <w:p>
      <w:pPr>
        <w:pStyle w:val="7"/>
        <w:widowControl/>
        <w:shd w:val="clear" w:color="auto" w:fill="FFFFFF"/>
        <w:spacing w:before="75" w:beforeAutospacing="0" w:after="75" w:afterAutospacing="0"/>
        <w:jc w:val="both"/>
        <w:rPr>
          <w:rFonts w:ascii="微软雅黑" w:hAnsi="微软雅黑" w:eastAsia="微软雅黑" w:cs="微软雅黑"/>
          <w:color w:val="333333"/>
          <w:spacing w:val="-1"/>
          <w:sz w:val="21"/>
          <w:szCs w:val="21"/>
        </w:rPr>
      </w:pPr>
      <w:r>
        <w:rPr>
          <w:rFonts w:hint="eastAsia" w:ascii="仿宋" w:hAnsi="仿宋" w:eastAsia="仿宋" w:cs="仿宋"/>
          <w:b/>
          <w:color w:val="333333"/>
          <w:spacing w:val="-1"/>
          <w:sz w:val="32"/>
          <w:szCs w:val="32"/>
          <w:shd w:val="clear" w:color="auto" w:fill="FFFFFF"/>
        </w:rPr>
        <w:t>五、资格预审方</w:t>
      </w:r>
      <w:bookmarkStart w:id="0" w:name="_GoBack"/>
      <w:bookmarkEnd w:id="0"/>
      <w:r>
        <w:rPr>
          <w:rFonts w:hint="eastAsia" w:ascii="仿宋" w:hAnsi="仿宋" w:eastAsia="仿宋" w:cs="仿宋"/>
          <w:b/>
          <w:color w:val="333333"/>
          <w:spacing w:val="-1"/>
          <w:sz w:val="32"/>
          <w:szCs w:val="32"/>
          <w:shd w:val="clear" w:color="auto" w:fill="FFFFFF"/>
        </w:rPr>
        <w:t>法</w:t>
      </w:r>
    </w:p>
    <w:p>
      <w:pPr>
        <w:pStyle w:val="7"/>
        <w:widowControl/>
        <w:shd w:val="clear" w:color="auto" w:fill="FFFFFF"/>
        <w:spacing w:before="75" w:beforeAutospacing="0" w:after="75" w:afterAutospacing="0"/>
        <w:jc w:val="both"/>
        <w:rPr>
          <w:rFonts w:ascii="微软雅黑" w:hAnsi="微软雅黑" w:eastAsia="微软雅黑" w:cs="微软雅黑"/>
          <w:color w:val="333333"/>
          <w:spacing w:val="-1"/>
          <w:sz w:val="21"/>
          <w:szCs w:val="21"/>
        </w:rPr>
      </w:pPr>
      <w:r>
        <w:rPr>
          <w:rFonts w:hint="eastAsia" w:ascii="仿宋" w:hAnsi="仿宋" w:eastAsia="仿宋" w:cs="仿宋"/>
          <w:color w:val="333333"/>
          <w:spacing w:val="-1"/>
          <w:sz w:val="32"/>
          <w:szCs w:val="32"/>
          <w:shd w:val="clear" w:color="auto" w:fill="FFFFFF"/>
        </w:rPr>
        <w:t>本次资格预审采用合格制。</w:t>
      </w:r>
    </w:p>
    <w:p>
      <w:pPr>
        <w:pStyle w:val="7"/>
        <w:widowControl/>
        <w:shd w:val="clear" w:color="auto" w:fill="FFFFFF"/>
        <w:spacing w:before="75" w:beforeAutospacing="0" w:after="75" w:afterAutospacing="0"/>
        <w:jc w:val="both"/>
        <w:rPr>
          <w:rFonts w:ascii="微软雅黑" w:hAnsi="微软雅黑" w:eastAsia="微软雅黑" w:cs="微软雅黑"/>
          <w:color w:val="333333"/>
          <w:spacing w:val="-1"/>
          <w:sz w:val="21"/>
          <w:szCs w:val="21"/>
        </w:rPr>
      </w:pPr>
      <w:r>
        <w:rPr>
          <w:rFonts w:hint="eastAsia" w:ascii="仿宋" w:hAnsi="仿宋" w:eastAsia="仿宋" w:cs="仿宋"/>
          <w:b/>
          <w:color w:val="333333"/>
          <w:spacing w:val="-1"/>
          <w:sz w:val="32"/>
          <w:szCs w:val="32"/>
          <w:shd w:val="clear" w:color="auto" w:fill="FFFFFF"/>
        </w:rPr>
        <w:t>六、申请报名</w:t>
      </w:r>
    </w:p>
    <w:p>
      <w:pPr>
        <w:pStyle w:val="7"/>
        <w:widowControl/>
        <w:shd w:val="clear" w:color="auto" w:fill="FFFFFF"/>
        <w:spacing w:before="75" w:beforeAutospacing="0" w:after="75" w:afterAutospacing="0"/>
        <w:jc w:val="both"/>
        <w:rPr>
          <w:rFonts w:ascii="微软雅黑" w:hAnsi="微软雅黑" w:eastAsia="微软雅黑" w:cs="微软雅黑"/>
          <w:color w:val="333333"/>
          <w:spacing w:val="-1"/>
          <w:sz w:val="21"/>
          <w:szCs w:val="21"/>
        </w:rPr>
      </w:pPr>
      <w:r>
        <w:rPr>
          <w:rFonts w:hint="eastAsia" w:ascii="仿宋" w:hAnsi="仿宋" w:eastAsia="仿宋" w:cs="仿宋"/>
          <w:color w:val="333333"/>
          <w:spacing w:val="-1"/>
          <w:sz w:val="32"/>
          <w:szCs w:val="32"/>
          <w:shd w:val="clear" w:color="auto" w:fill="FFFFFF"/>
        </w:rPr>
        <w:t>6.1 报名时间：自202</w:t>
      </w:r>
      <w:r>
        <w:rPr>
          <w:rFonts w:hint="eastAsia" w:ascii="仿宋" w:hAnsi="仿宋" w:eastAsia="仿宋" w:cs="仿宋"/>
          <w:color w:val="333333"/>
          <w:spacing w:val="-1"/>
          <w:sz w:val="32"/>
          <w:szCs w:val="32"/>
          <w:shd w:val="clear" w:color="auto" w:fill="FFFFFF"/>
          <w:lang w:val="en-US" w:eastAsia="zh-CN"/>
        </w:rPr>
        <w:t>1</w:t>
      </w:r>
      <w:r>
        <w:rPr>
          <w:rFonts w:hint="eastAsia" w:ascii="仿宋" w:hAnsi="仿宋" w:eastAsia="仿宋" w:cs="仿宋"/>
          <w:color w:val="333333"/>
          <w:spacing w:val="-1"/>
          <w:sz w:val="32"/>
          <w:szCs w:val="32"/>
          <w:shd w:val="clear" w:color="auto" w:fill="FFFFFF"/>
        </w:rPr>
        <w:t>年1</w:t>
      </w:r>
      <w:r>
        <w:rPr>
          <w:rFonts w:hint="eastAsia" w:ascii="仿宋" w:hAnsi="仿宋" w:eastAsia="仿宋" w:cs="仿宋"/>
          <w:color w:val="333333"/>
          <w:spacing w:val="-1"/>
          <w:sz w:val="32"/>
          <w:szCs w:val="32"/>
          <w:shd w:val="clear" w:color="auto" w:fill="FFFFFF"/>
          <w:lang w:val="en-US" w:eastAsia="zh-CN"/>
        </w:rPr>
        <w:t>2</w:t>
      </w:r>
      <w:r>
        <w:rPr>
          <w:rFonts w:hint="eastAsia" w:ascii="仿宋" w:hAnsi="仿宋" w:eastAsia="仿宋" w:cs="仿宋"/>
          <w:color w:val="333333"/>
          <w:spacing w:val="-1"/>
          <w:sz w:val="32"/>
          <w:szCs w:val="32"/>
          <w:shd w:val="clear" w:color="auto" w:fill="FFFFFF"/>
        </w:rPr>
        <w:t>月</w:t>
      </w:r>
      <w:r>
        <w:rPr>
          <w:rFonts w:hint="eastAsia" w:ascii="仿宋" w:hAnsi="仿宋" w:eastAsia="仿宋" w:cs="仿宋"/>
          <w:color w:val="333333"/>
          <w:spacing w:val="-1"/>
          <w:sz w:val="32"/>
          <w:szCs w:val="32"/>
          <w:shd w:val="clear" w:color="auto" w:fill="FFFFFF"/>
          <w:lang w:val="en-US" w:eastAsia="zh-CN"/>
        </w:rPr>
        <w:t>30</w:t>
      </w:r>
      <w:r>
        <w:rPr>
          <w:rFonts w:hint="eastAsia" w:ascii="仿宋" w:hAnsi="仿宋" w:eastAsia="仿宋" w:cs="仿宋"/>
          <w:color w:val="333333"/>
          <w:spacing w:val="-1"/>
          <w:sz w:val="32"/>
          <w:szCs w:val="32"/>
          <w:shd w:val="clear" w:color="auto" w:fill="FFFFFF"/>
        </w:rPr>
        <w:t>日至2022年1月1</w:t>
      </w:r>
      <w:r>
        <w:rPr>
          <w:rFonts w:hint="eastAsia" w:ascii="仿宋" w:hAnsi="仿宋" w:eastAsia="仿宋" w:cs="仿宋"/>
          <w:color w:val="333333"/>
          <w:spacing w:val="-1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" w:hAnsi="仿宋" w:eastAsia="仿宋" w:cs="仿宋"/>
          <w:color w:val="333333"/>
          <w:spacing w:val="-1"/>
          <w:sz w:val="32"/>
          <w:szCs w:val="32"/>
          <w:shd w:val="clear" w:color="auto" w:fill="FFFFFF"/>
        </w:rPr>
        <w:t>日（法定公休日、法定节假日除外）上午8：30至11：30，下午13：30至17：30。</w:t>
      </w:r>
    </w:p>
    <w:p>
      <w:pPr>
        <w:pStyle w:val="7"/>
        <w:widowControl/>
        <w:shd w:val="clear" w:color="auto" w:fill="FFFFFF"/>
        <w:spacing w:before="75" w:beforeAutospacing="0" w:after="75" w:afterAutospacing="0"/>
        <w:jc w:val="both"/>
        <w:rPr>
          <w:rFonts w:ascii="微软雅黑" w:hAnsi="微软雅黑" w:eastAsia="微软雅黑" w:cs="微软雅黑"/>
          <w:color w:val="333333"/>
          <w:spacing w:val="-1"/>
          <w:sz w:val="21"/>
          <w:szCs w:val="21"/>
          <w:highlight w:val="none"/>
        </w:rPr>
      </w:pPr>
      <w:r>
        <w:rPr>
          <w:rFonts w:hint="eastAsia" w:ascii="仿宋" w:hAnsi="仿宋" w:eastAsia="仿宋" w:cs="仿宋"/>
          <w:color w:val="333333"/>
          <w:spacing w:val="-1"/>
          <w:sz w:val="32"/>
          <w:szCs w:val="32"/>
          <w:shd w:val="clear" w:color="auto" w:fill="FFFFFF"/>
        </w:rPr>
        <w:t>6.2 地点</w:t>
      </w:r>
      <w:r>
        <w:rPr>
          <w:rFonts w:hint="eastAsia" w:ascii="仿宋" w:hAnsi="仿宋" w:eastAsia="仿宋" w:cs="仿宋"/>
          <w:color w:val="333333"/>
          <w:spacing w:val="-1"/>
          <w:sz w:val="32"/>
          <w:szCs w:val="32"/>
          <w:highlight w:val="none"/>
          <w:shd w:val="clear" w:color="auto" w:fill="FFFFFF"/>
        </w:rPr>
        <w:t>：山东省济南市历下区银丰财富广场B座24层。</w:t>
      </w:r>
    </w:p>
    <w:p>
      <w:pPr>
        <w:pStyle w:val="7"/>
        <w:widowControl/>
        <w:shd w:val="clear" w:color="auto" w:fill="FFFFFF"/>
        <w:spacing w:before="75" w:beforeAutospacing="0" w:after="75" w:afterAutospacing="0"/>
        <w:jc w:val="both"/>
        <w:rPr>
          <w:rFonts w:ascii="微软雅黑" w:hAnsi="微软雅黑" w:eastAsia="微软雅黑" w:cs="微软雅黑"/>
          <w:color w:val="333333"/>
          <w:spacing w:val="-1"/>
          <w:sz w:val="21"/>
          <w:szCs w:val="21"/>
          <w:highlight w:val="none"/>
        </w:rPr>
      </w:pPr>
      <w:r>
        <w:rPr>
          <w:rFonts w:hint="eastAsia" w:ascii="仿宋" w:hAnsi="仿宋" w:eastAsia="仿宋" w:cs="仿宋"/>
          <w:color w:val="333333"/>
          <w:spacing w:val="-1"/>
          <w:sz w:val="32"/>
          <w:szCs w:val="32"/>
          <w:highlight w:val="none"/>
          <w:shd w:val="clear" w:color="auto" w:fill="FFFFFF"/>
        </w:rPr>
        <w:t>6.3 报名材料凡有意申请资格预审者，请按附件《供应商资格预审表》要求材料进行资格预审报名。</w:t>
      </w:r>
    </w:p>
    <w:p>
      <w:pPr>
        <w:pStyle w:val="7"/>
        <w:widowControl/>
        <w:shd w:val="clear" w:color="auto" w:fill="FFFFFF"/>
        <w:spacing w:before="75" w:beforeAutospacing="0" w:after="75" w:afterAutospacing="0"/>
        <w:jc w:val="both"/>
        <w:rPr>
          <w:rFonts w:ascii="微软雅黑" w:hAnsi="微软雅黑" w:eastAsia="微软雅黑" w:cs="微软雅黑"/>
          <w:color w:val="333333"/>
          <w:spacing w:val="-1"/>
          <w:sz w:val="21"/>
          <w:szCs w:val="21"/>
          <w:highlight w:val="none"/>
        </w:rPr>
      </w:pPr>
      <w:r>
        <w:rPr>
          <w:rFonts w:hint="eastAsia" w:ascii="仿宋" w:hAnsi="仿宋" w:eastAsia="仿宋" w:cs="仿宋"/>
          <w:b/>
          <w:color w:val="333333"/>
          <w:spacing w:val="-1"/>
          <w:sz w:val="32"/>
          <w:szCs w:val="32"/>
          <w:highlight w:val="none"/>
          <w:shd w:val="clear" w:color="auto" w:fill="FFFFFF"/>
        </w:rPr>
        <w:t>七、联系方式</w:t>
      </w:r>
    </w:p>
    <w:p>
      <w:pPr>
        <w:pStyle w:val="7"/>
        <w:widowControl/>
        <w:shd w:val="clear" w:color="auto" w:fill="FFFFFF"/>
        <w:spacing w:before="75" w:beforeAutospacing="0" w:after="75" w:afterAutospacing="0"/>
        <w:jc w:val="both"/>
        <w:rPr>
          <w:rFonts w:ascii="仿宋" w:hAnsi="仿宋" w:eastAsia="仿宋" w:cs="仿宋"/>
          <w:color w:val="333333"/>
          <w:spacing w:val="-1"/>
          <w:sz w:val="32"/>
          <w:szCs w:val="32"/>
          <w:highlight w:val="none"/>
          <w:shd w:val="clear" w:color="auto" w:fill="FFFFFF"/>
        </w:rPr>
      </w:pPr>
      <w:r>
        <w:rPr>
          <w:rFonts w:hint="eastAsia" w:ascii="仿宋" w:hAnsi="仿宋" w:eastAsia="仿宋" w:cs="仿宋"/>
          <w:color w:val="333333"/>
          <w:spacing w:val="-1"/>
          <w:sz w:val="32"/>
          <w:szCs w:val="32"/>
          <w:highlight w:val="none"/>
          <w:shd w:val="clear" w:color="auto" w:fill="FFFFFF"/>
        </w:rPr>
        <w:t>地址：山东省济南市历下区银丰财富广场B座24层</w:t>
      </w:r>
    </w:p>
    <w:p>
      <w:pPr>
        <w:pStyle w:val="7"/>
        <w:widowControl/>
        <w:shd w:val="clear" w:color="auto" w:fill="FFFFFF"/>
        <w:spacing w:before="75" w:beforeAutospacing="0" w:after="75" w:afterAutospacing="0"/>
        <w:jc w:val="both"/>
        <w:rPr>
          <w:rFonts w:ascii="仿宋" w:hAnsi="仿宋" w:eastAsia="仿宋" w:cs="仿宋"/>
          <w:color w:val="333333"/>
          <w:spacing w:val="-1"/>
          <w:sz w:val="32"/>
          <w:szCs w:val="32"/>
          <w:highlight w:val="none"/>
          <w:shd w:val="clear" w:color="auto" w:fill="FFFFFF"/>
        </w:rPr>
      </w:pPr>
      <w:r>
        <w:rPr>
          <w:rFonts w:hint="eastAsia" w:ascii="仿宋" w:hAnsi="仿宋" w:eastAsia="仿宋" w:cs="仿宋"/>
          <w:color w:val="333333"/>
          <w:spacing w:val="-1"/>
          <w:sz w:val="32"/>
          <w:szCs w:val="32"/>
          <w:highlight w:val="none"/>
          <w:shd w:val="clear" w:color="auto" w:fill="FFFFFF"/>
        </w:rPr>
        <w:t>联系人：庞经理：199 5315 9431     </w:t>
      </w:r>
    </w:p>
    <w:p>
      <w:pPr>
        <w:pStyle w:val="7"/>
        <w:widowControl/>
        <w:shd w:val="clear" w:color="auto" w:fill="FFFFFF"/>
        <w:spacing w:before="75" w:beforeAutospacing="0" w:after="75" w:afterAutospacing="0"/>
        <w:ind w:firstLine="1272" w:firstLineChars="400"/>
        <w:jc w:val="both"/>
        <w:rPr>
          <w:rFonts w:ascii="仿宋" w:hAnsi="仿宋" w:eastAsia="仿宋" w:cs="仿宋"/>
          <w:color w:val="333333"/>
          <w:spacing w:val="-1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333333"/>
          <w:spacing w:val="-1"/>
          <w:sz w:val="32"/>
          <w:szCs w:val="32"/>
          <w:shd w:val="clear" w:color="auto" w:fill="FFFFFF"/>
        </w:rPr>
        <w:t>司经理：199 5315 9427 </w:t>
      </w:r>
    </w:p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  <w:rPr>
        <w:rFonts w:ascii="仿宋" w:hAnsi="仿宋" w:eastAsia="仿宋"/>
      </w:rPr>
    </w:pPr>
    <w:r>
      <w:rPr>
        <w:rFonts w:hint="eastAsia" w:ascii="仿宋" w:hAnsi="仿宋" w:eastAsia="仿宋"/>
      </w:rPr>
      <w:t xml:space="preserve">第 </w:t>
    </w:r>
    <w:r>
      <w:rPr>
        <w:rFonts w:ascii="仿宋" w:hAnsi="仿宋" w:eastAsia="仿宋"/>
        <w:lang w:val="zh-CN"/>
      </w:rPr>
      <w:t xml:space="preserve"> </w:t>
    </w:r>
    <w:r>
      <w:rPr>
        <w:rFonts w:ascii="仿宋" w:hAnsi="仿宋" w:eastAsia="仿宋"/>
      </w:rPr>
      <w:fldChar w:fldCharType="begin"/>
    </w:r>
    <w:r>
      <w:rPr>
        <w:rFonts w:ascii="仿宋" w:hAnsi="仿宋" w:eastAsia="仿宋"/>
      </w:rPr>
      <w:instrText xml:space="preserve"> PAGE </w:instrText>
    </w:r>
    <w:r>
      <w:rPr>
        <w:rFonts w:ascii="仿宋" w:hAnsi="仿宋" w:eastAsia="仿宋"/>
      </w:rPr>
      <w:fldChar w:fldCharType="separate"/>
    </w:r>
    <w:r>
      <w:rPr>
        <w:rFonts w:ascii="仿宋" w:hAnsi="仿宋" w:eastAsia="仿宋"/>
      </w:rPr>
      <w:t>2</w:t>
    </w:r>
    <w:r>
      <w:rPr>
        <w:rFonts w:ascii="仿宋" w:hAnsi="仿宋" w:eastAsia="仿宋"/>
      </w:rPr>
      <w:fldChar w:fldCharType="end"/>
    </w:r>
    <w:r>
      <w:rPr>
        <w:rFonts w:ascii="仿宋" w:hAnsi="仿宋" w:eastAsia="仿宋"/>
        <w:lang w:val="zh-CN"/>
      </w:rPr>
      <w:t xml:space="preserve"> </w:t>
    </w:r>
    <w:r>
      <w:rPr>
        <w:rFonts w:hint="eastAsia" w:ascii="仿宋" w:hAnsi="仿宋" w:eastAsia="仿宋"/>
        <w:lang w:val="zh-CN"/>
      </w:rPr>
      <w:t>页 ，共</w:t>
    </w:r>
    <w:r>
      <w:rPr>
        <w:rFonts w:ascii="仿宋" w:hAnsi="仿宋" w:eastAsia="仿宋"/>
        <w:lang w:val="zh-CN"/>
      </w:rPr>
      <w:t xml:space="preserve"> </w:t>
    </w:r>
    <w:r>
      <w:rPr>
        <w:rFonts w:ascii="仿宋" w:hAnsi="仿宋" w:eastAsia="仿宋"/>
      </w:rPr>
      <w:fldChar w:fldCharType="begin"/>
    </w:r>
    <w:r>
      <w:rPr>
        <w:rFonts w:ascii="仿宋" w:hAnsi="仿宋" w:eastAsia="仿宋"/>
      </w:rPr>
      <w:instrText xml:space="preserve"> NUMPAGES  </w:instrText>
    </w:r>
    <w:r>
      <w:rPr>
        <w:rFonts w:ascii="仿宋" w:hAnsi="仿宋" w:eastAsia="仿宋"/>
      </w:rPr>
      <w:fldChar w:fldCharType="separate"/>
    </w:r>
    <w:r>
      <w:rPr>
        <w:rFonts w:ascii="仿宋" w:hAnsi="仿宋" w:eastAsia="仿宋"/>
      </w:rPr>
      <w:t>3</w:t>
    </w:r>
    <w:r>
      <w:rPr>
        <w:rFonts w:ascii="仿宋" w:hAnsi="仿宋" w:eastAsia="仿宋"/>
      </w:rPr>
      <w:fldChar w:fldCharType="end"/>
    </w:r>
    <w:r>
      <w:rPr>
        <w:rFonts w:hint="eastAsia" w:ascii="仿宋" w:hAnsi="仿宋" w:eastAsia="仿宋"/>
      </w:rPr>
      <w:t xml:space="preserve"> 页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53A"/>
    <w:rsid w:val="00025C6D"/>
    <w:rsid w:val="008E053A"/>
    <w:rsid w:val="00B24B3A"/>
    <w:rsid w:val="19892B99"/>
    <w:rsid w:val="26A73844"/>
    <w:rsid w:val="43906D9F"/>
    <w:rsid w:val="68347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4"/>
    <w:basedOn w:val="1"/>
    <w:next w:val="1"/>
    <w:qFormat/>
    <w:uiPriority w:val="0"/>
    <w:pPr>
      <w:keepNext/>
      <w:keepLines/>
      <w:spacing w:before="280" w:after="290" w:line="372" w:lineRule="auto"/>
      <w:outlineLvl w:val="3"/>
    </w:pPr>
    <w:rPr>
      <w:rFonts w:ascii="Cambria" w:hAnsi="Cambria" w:eastAsia="宋体" w:cs="Times New Roman"/>
      <w:b/>
      <w:bCs/>
      <w:sz w:val="28"/>
      <w:szCs w:val="28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3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paragraph" w:styleId="7">
    <w:name w:val="Normal (Web)"/>
    <w:basedOn w:val="1"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8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Cambria" w:hAnsi="Cambria" w:eastAsia="宋体" w:cs="Times New Roman"/>
      <w:b/>
      <w:bCs/>
      <w:sz w:val="32"/>
      <w:szCs w:val="32"/>
    </w:rPr>
  </w:style>
  <w:style w:type="character" w:styleId="11">
    <w:name w:val="Strong"/>
    <w:basedOn w:val="10"/>
    <w:qFormat/>
    <w:uiPriority w:val="0"/>
    <w:rPr>
      <w:b/>
    </w:rPr>
  </w:style>
  <w:style w:type="paragraph" w:customStyle="1" w:styleId="12">
    <w:name w:val="列表段落1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</w:rPr>
  </w:style>
  <w:style w:type="character" w:customStyle="1" w:styleId="13">
    <w:name w:val="页脚 Char"/>
    <w:basedOn w:val="10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178</Words>
  <Characters>1015</Characters>
  <Lines>8</Lines>
  <Paragraphs>2</Paragraphs>
  <TotalTime>15</TotalTime>
  <ScaleCrop>false</ScaleCrop>
  <LinksUpToDate>false</LinksUpToDate>
  <CharactersWithSpaces>1191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2021-12-27T01:05:00Z</dcterms:created>
  <dc:creator>lenovo</dc:creator>
  <cp:lastModifiedBy>Administrator</cp:lastModifiedBy>
  <dcterms:modified xsi:type="dcterms:W3CDTF">2021-12-31T00:38:34Z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